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铜文化协同创新中心科研项目一览表（横向课题）</w:t>
      </w:r>
    </w:p>
    <w:tbl>
      <w:tblPr>
        <w:tblStyle w:val="4"/>
        <w:tblW w:w="11213" w:type="dxa"/>
        <w:tblInd w:w="-1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13"/>
        <w:gridCol w:w="1025"/>
        <w:gridCol w:w="1912"/>
        <w:gridCol w:w="1938"/>
        <w:gridCol w:w="121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913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912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合作单位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到账经费</w:t>
            </w:r>
          </w:p>
          <w:p>
            <w:pPr>
              <w:bidi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501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1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“铜构”家具铜装饰品设计</w:t>
            </w:r>
          </w:p>
        </w:tc>
        <w:tc>
          <w:tcPr>
            <w:tcW w:w="102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赵正光</w:t>
            </w:r>
          </w:p>
        </w:tc>
        <w:tc>
          <w:tcPr>
            <w:tcW w:w="19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铜陵市观铜文化创意有限公司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2021tlxyxdz47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文旅融合背景下铜陵市工业遗产活化利用发展的模式与对策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刘静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铜陵市委宣传部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TLKT2021-16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铜文化创意发展产业策略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戴倩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铜官府文化创意股份公司</w:t>
            </w:r>
            <w:bookmarkStart w:id="0" w:name="_GoBack"/>
            <w:bookmarkEnd w:id="0"/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2022tlxyxdz055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中盛画材丙烯产品研发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赵正光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安徽省中盛画材文化用品有限公司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2022tlxyxdz122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40.0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关于铜陵打造区域特色文化产业集群的研究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盛霞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铜陵市政府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SYKT2018-09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市软课题发[2019]2号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关于“中国铜艺之都”超级城市IP打造路径及对策研究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王伟赟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铜陵市政府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SRKT2022-12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市软课题发[2022]4号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jA3OTYyOTNmODEzNzI1ZWVkZTRjNzdlMjI3ODEifQ=="/>
  </w:docVars>
  <w:rsids>
    <w:rsidRoot w:val="10505354"/>
    <w:rsid w:val="10505354"/>
    <w:rsid w:val="263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2024-03-19T07:35:00Z</dcterms:created>
  <dc:creator>拾贰加柒</dc:creator>
  <cp:lastModifiedBy>拾贰加柒</cp:lastModifiedBy>
  <dcterms:modified xsi:type="dcterms:W3CDTF">2024-03-19T08:06:59Z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809CC43E2D844188802E6974EC2E57C2_11</vt:lpwstr>
  </property>
</Properties>
</file>